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康养发展集团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财务等重大信息公开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79" w:lineRule="exact"/>
        <w:jc w:val="both"/>
        <w:textAlignment w:val="auto"/>
        <w:rPr>
          <w:rFonts w:hint="default" w:ascii="Times New Roman" w:hAnsi="Times New Roman" w:eastAsia="方正黑体简体" w:cs="Times New Roman"/>
          <w:lang w:val="en-US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1.名    称：山东公用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康养发展集团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2.企业类型：有限责任公司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2019</w:t>
      </w:r>
      <w:r>
        <w:rPr>
          <w:rFonts w:hint="default" w:ascii="Times New Roman" w:hAnsi="Times New Roman" w:eastAsia="方正仿宋简体" w:cs="Times New Roman"/>
          <w:b/>
          <w:bCs/>
          <w:highlight w:val="none"/>
          <w:lang w:val="en-US"/>
        </w:rPr>
        <w:t>-</w:t>
      </w:r>
      <w:r>
        <w:rPr>
          <w:rFonts w:hint="default" w:ascii="Times New Roman" w:hAnsi="Times New Roman" w:eastAsia="方正仿宋简体" w:cs="Times New Roman"/>
          <w:b/>
          <w:bCs/>
          <w:highlight w:val="none"/>
          <w:lang w:val="en-US" w:eastAsia="zh-CN"/>
        </w:rPr>
        <w:t>11</w:t>
      </w:r>
      <w:r>
        <w:rPr>
          <w:rFonts w:hint="default" w:ascii="Times New Roman" w:hAnsi="Times New Roman" w:eastAsia="方正仿宋简体" w:cs="Times New Roman"/>
          <w:b/>
          <w:bCs/>
          <w:highlight w:val="none"/>
          <w:lang w:val="en-US"/>
        </w:rPr>
        <w:t>-</w:t>
      </w:r>
      <w:r>
        <w:rPr>
          <w:rFonts w:hint="default" w:ascii="Times New Roman" w:hAnsi="Times New Roman" w:eastAsia="方正仿宋简体" w:cs="Times New Roman"/>
          <w:b/>
          <w:bCs/>
          <w:highlight w:val="none"/>
          <w:lang w:val="en-US" w:eastAsia="zh-CN"/>
        </w:rPr>
        <w:t>01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张  毅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山东省济宁北湖省级旅游度假区许庄街道京投总部大厦A02-112室(济宁北湖省级旅游度假区济安桥南路以西常利路以北)（一照多址）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6.公司经营范围：一般项目：养生保健服务（非医疗）；养老服务；护理机构服务（不含医疗服务）；母婴生活护理（不含医疗服务）；家政服务；健康咨询服务（不含诊疗服务）；假肢和矫形器（辅助器具）生产装配；康复辅具适配服务；物业管理；会议及展览服务；第一类医疗器械销售；第一类医疗设备租赁；第二类医疗设备租赁；第二类医疗器械销售。（除依法须经批准的项目外，凭营业执照依法自主开展经营活动）许可项目：住宿服务；旅游业务。（依法须经批准的项目，经相关部门批准后方可开展经营活动，具体经营项目以相关部门批准文件或许可证件为准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山东公用康养发展集团（山东公用控股有限公司与山东京投集团投资成立）统筹运营的康养社区是“CCRC持续照料式、医康养深度融合”的高品质全龄友好社区，康养集团下设山东公用颐养有限公司、山东公用康复医院有限公司、山东公用中央厨房有限公司，分别承接养老护理、医疗康复、全方位保障三大业务板块。</w:t>
      </w:r>
    </w:p>
    <w:p>
      <w:pPr>
        <w:pStyle w:val="3"/>
        <w:spacing w:after="0" w:line="579" w:lineRule="exact"/>
        <w:ind w:firstLine="643" w:firstLineChars="200"/>
        <w:jc w:val="both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二、主要会计数据和财务指标</w:t>
      </w:r>
    </w:p>
    <w:p>
      <w:pPr>
        <w:pStyle w:val="3"/>
        <w:spacing w:after="0" w:line="579" w:lineRule="exact"/>
        <w:jc w:val="center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5</w:t>
      </w:r>
      <w:r>
        <w:rPr>
          <w:rFonts w:ascii="Times New Roman" w:hAnsi="Times New Roman" w:eastAsia="方正黑体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第三季度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>
      <w:pPr>
        <w:pStyle w:val="3"/>
        <w:spacing w:line="579" w:lineRule="exact"/>
        <w:ind w:firstLine="6325" w:firstLineChars="2100"/>
        <w:jc w:val="both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tblInd w:w="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2940"/>
        <w:gridCol w:w="2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>
            <w:pPr>
              <w:pStyle w:val="3"/>
              <w:spacing w:line="579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项  目</w:t>
            </w:r>
          </w:p>
        </w:tc>
        <w:tc>
          <w:tcPr>
            <w:tcW w:w="2940" w:type="dxa"/>
          </w:tcPr>
          <w:p>
            <w:pPr>
              <w:pStyle w:val="3"/>
              <w:spacing w:line="579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本期金额</w:t>
            </w:r>
          </w:p>
        </w:tc>
        <w:tc>
          <w:tcPr>
            <w:tcW w:w="2910" w:type="dxa"/>
          </w:tcPr>
          <w:p>
            <w:pPr>
              <w:pStyle w:val="3"/>
              <w:spacing w:line="579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7" w:hRule="atLeast"/>
        </w:trPr>
        <w:tc>
          <w:tcPr>
            <w:tcW w:w="2820" w:type="dxa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营业总收入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466.03</w:t>
            </w:r>
          </w:p>
        </w:tc>
        <w:tc>
          <w:tcPr>
            <w:tcW w:w="291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272.08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营业总成本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1899.35</w:t>
            </w:r>
          </w:p>
        </w:tc>
        <w:tc>
          <w:tcPr>
            <w:tcW w:w="291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1089.27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利润总额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-1189.37</w:t>
            </w:r>
          </w:p>
        </w:tc>
        <w:tc>
          <w:tcPr>
            <w:tcW w:w="291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-817.18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>
            <w:pPr>
              <w:pStyle w:val="3"/>
              <w:spacing w:line="579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lang w:val="en-US" w:bidi="ar-SA"/>
              </w:rPr>
              <w:t>项  目</w:t>
            </w:r>
          </w:p>
        </w:tc>
        <w:tc>
          <w:tcPr>
            <w:tcW w:w="2940" w:type="dxa"/>
          </w:tcPr>
          <w:p>
            <w:pPr>
              <w:pStyle w:val="3"/>
              <w:spacing w:line="579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lang w:val="en-US" w:bidi="ar-SA"/>
              </w:rPr>
              <w:t>期末余额</w:t>
            </w:r>
          </w:p>
        </w:tc>
        <w:tc>
          <w:tcPr>
            <w:tcW w:w="2910" w:type="dxa"/>
          </w:tcPr>
          <w:p>
            <w:pPr>
              <w:pStyle w:val="3"/>
              <w:spacing w:line="579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20" w:type="dxa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资产总额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48735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20</w:t>
            </w:r>
          </w:p>
        </w:tc>
        <w:tc>
          <w:tcPr>
            <w:tcW w:w="291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48510.27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20" w:type="dxa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负债总额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579" w:lineRule="exact"/>
              <w:ind w:firstLine="964" w:firstLineChars="300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3686.26</w:t>
            </w:r>
          </w:p>
        </w:tc>
        <w:tc>
          <w:tcPr>
            <w:tcW w:w="291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4678.16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20" w:type="dxa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所有者权益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45048.94</w:t>
            </w:r>
          </w:p>
        </w:tc>
        <w:tc>
          <w:tcPr>
            <w:tcW w:w="2910" w:type="dxa"/>
            <w:vAlign w:val="center"/>
          </w:tcPr>
          <w:p>
            <w:pPr>
              <w:pStyle w:val="3"/>
              <w:spacing w:line="579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43832.11</w:t>
            </w:r>
          </w:p>
        </w:tc>
      </w:tr>
    </w:tbl>
    <w:p>
      <w:pPr>
        <w:spacing w:after="0" w:line="579" w:lineRule="exact"/>
        <w:ind w:left="64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>
      <w:pPr>
        <w:spacing w:after="0" w:line="579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第三季度，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公司实现营业总收入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466.03万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2230万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20.90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-1189.37万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-2200万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-54.06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四、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季度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健康管理中心为本单位重点投资项目，该项目于4月份正式启动装饰装修相关工作。施工期间，项目团队严格把控工程质量与进度，科学统筹施工流程，有效保障了各项建设任务有序推进，于7月中旬顺利完成竣工。目前，健康管理中心已正式投入运营，开展专业的健康体检、健康评估、健康咨询等服务，为实现医康养深度融合的健康管理需求、完善公司康养服务体系发挥重要作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79" w:lineRule="exact"/>
        <w:ind w:firstLine="4498" w:firstLineChars="14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