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山东公用物资集团有限公司</w:t>
      </w:r>
    </w:p>
    <w:p>
      <w:pPr>
        <w:snapToGrid w:val="0"/>
        <w:spacing w:line="60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20</w:t>
      </w:r>
      <w:r>
        <w:rPr>
          <w:rFonts w:hint="eastAsia" w:eastAsia="方正小标宋简体" w:cs="Times New Roman"/>
          <w:sz w:val="44"/>
          <w:szCs w:val="44"/>
        </w:rPr>
        <w:t>25</w:t>
      </w:r>
      <w:r>
        <w:rPr>
          <w:rFonts w:eastAsia="方正小标宋简体" w:cs="Times New Roman"/>
          <w:sz w:val="44"/>
          <w:szCs w:val="44"/>
        </w:rPr>
        <w:t>年</w:t>
      </w:r>
      <w:r>
        <w:rPr>
          <w:rFonts w:hint="eastAsia" w:eastAsia="方正小标宋简体" w:cs="Times New Roman"/>
          <w:sz w:val="44"/>
          <w:szCs w:val="44"/>
        </w:rPr>
        <w:t>三季度</w:t>
      </w:r>
      <w:r>
        <w:rPr>
          <w:rFonts w:eastAsia="方正小标宋简体" w:cs="Times New Roman"/>
          <w:sz w:val="44"/>
          <w:szCs w:val="44"/>
        </w:rPr>
        <w:t>财务等重大信息公开</w:t>
      </w:r>
    </w:p>
    <w:p>
      <w:pPr>
        <w:spacing w:line="600" w:lineRule="exact"/>
        <w:rPr>
          <w:rFonts w:eastAsia="方正小标宋简体" w:cs="Times New Roman"/>
          <w:szCs w:val="32"/>
        </w:rPr>
      </w:pPr>
      <w:r>
        <w:rPr>
          <w:rFonts w:eastAsia="方正小标宋简体" w:cs="Times New Roman"/>
          <w:szCs w:val="32"/>
        </w:rPr>
        <w:t xml:space="preserve">   </w:t>
      </w:r>
    </w:p>
    <w:p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eastAsia="方正黑体简体" w:cs="Times New Roman"/>
          <w:szCs w:val="32"/>
        </w:rPr>
        <w:t xml:space="preserve">一、公司基本情况 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1.企业名称：山东公用物资集团有限公司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2.注册地址：山东省济宁市鱼台县观鱼大道东首鱼台经济开发区管委会办公楼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3.登记机关：济宁市行政审批服务局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4.经营范围：</w:t>
      </w:r>
      <w:r>
        <w:rPr>
          <w:rFonts w:hint="eastAsia" w:cs="Times New Roman"/>
          <w:szCs w:val="32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5.企业类型：有限责任公司（非自然人投资或控股的法人独资）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6.成立日期：2020年06月08日</w:t>
      </w:r>
    </w:p>
    <w:p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cs="Times New Roman"/>
          <w:szCs w:val="32"/>
        </w:rPr>
        <w:t>7.机构设置情况：公司总部设立综合办公室、财务部、采购部、信息与供应部“三部一室”，下设山东公用物资集团有限公司济宁分公司、济宁天地鸿基商务有限公司子公司。</w:t>
      </w:r>
    </w:p>
    <w:p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eastAsia="方正黑体简体" w:cs="Times New Roman"/>
          <w:szCs w:val="32"/>
        </w:rPr>
        <w:t>二、主要会计数据和财务指标</w:t>
      </w:r>
      <w:r>
        <w:rPr>
          <w:rFonts w:eastAsia="方正黑体简体" w:cs="Times New Roman"/>
          <w:sz w:val="24"/>
        </w:rPr>
        <w:t xml:space="preserve"> 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cs="Times New Roman"/>
          <w:szCs w:val="32"/>
        </w:rPr>
        <w:t>202</w:t>
      </w:r>
      <w:r>
        <w:rPr>
          <w:rFonts w:hint="eastAsia" w:cs="Times New Roman"/>
          <w:szCs w:val="32"/>
        </w:rPr>
        <w:t>5</w:t>
      </w:r>
      <w:r>
        <w:rPr>
          <w:rFonts w:cs="Times New Roman"/>
          <w:szCs w:val="32"/>
        </w:rPr>
        <w:t>年</w:t>
      </w:r>
      <w:r>
        <w:rPr>
          <w:rFonts w:hint="eastAsia" w:cs="Times New Roman"/>
          <w:szCs w:val="32"/>
        </w:rPr>
        <w:t>三季度财务数据：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资产总额40070万元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负债总额32370万元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所有者权益总额7700万元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营业收入67836万元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营业成本66449万元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利润总额740万元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eastAsia="方正黑体简体" w:cs="Times New Roman"/>
          <w:szCs w:val="32"/>
        </w:rPr>
        <w:t>三、财务预算执行情况</w:t>
      </w:r>
    </w:p>
    <w:p>
      <w:pPr>
        <w:snapToGrid w:val="0"/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2025年前三季度实现营业收入67836万元，完成预算55000万元的123%；利润总额740万元，完成预算43.43万元的1703.89%。</w:t>
      </w:r>
    </w:p>
    <w:p>
      <w:pPr>
        <w:snapToGrid w:val="0"/>
        <w:spacing w:line="600" w:lineRule="exact"/>
        <w:ind w:firstLine="630" w:firstLineChars="200"/>
        <w:rPr>
          <w:rFonts w:cs="Times New Roman"/>
          <w:szCs w:val="32"/>
        </w:rPr>
      </w:pPr>
      <w:bookmarkStart w:id="0" w:name="_GoBack"/>
      <w:bookmarkEnd w:id="0"/>
    </w:p>
    <w:p>
      <w:pPr>
        <w:spacing w:line="600" w:lineRule="exact"/>
        <w:ind w:right="640"/>
        <w:jc w:val="right"/>
        <w:rPr>
          <w:rFonts w:eastAsia="方正小标宋简体" w:cs="Times New Roman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28E8704B"/>
    <w:rsid w:val="00013954"/>
    <w:rsid w:val="00023E53"/>
    <w:rsid w:val="00064C10"/>
    <w:rsid w:val="000B768B"/>
    <w:rsid w:val="000F4906"/>
    <w:rsid w:val="001048D2"/>
    <w:rsid w:val="001225CF"/>
    <w:rsid w:val="0016636E"/>
    <w:rsid w:val="00173818"/>
    <w:rsid w:val="001E123D"/>
    <w:rsid w:val="001E70D3"/>
    <w:rsid w:val="001F0930"/>
    <w:rsid w:val="002659B0"/>
    <w:rsid w:val="0027474F"/>
    <w:rsid w:val="002759EE"/>
    <w:rsid w:val="002F0D05"/>
    <w:rsid w:val="0033664A"/>
    <w:rsid w:val="00346DC6"/>
    <w:rsid w:val="00387CC5"/>
    <w:rsid w:val="003A2581"/>
    <w:rsid w:val="003A6131"/>
    <w:rsid w:val="003B2746"/>
    <w:rsid w:val="003C0776"/>
    <w:rsid w:val="003F200B"/>
    <w:rsid w:val="0040651C"/>
    <w:rsid w:val="0045475B"/>
    <w:rsid w:val="004B3BB3"/>
    <w:rsid w:val="004B51FE"/>
    <w:rsid w:val="004C19A7"/>
    <w:rsid w:val="004F2DF9"/>
    <w:rsid w:val="005249DB"/>
    <w:rsid w:val="005304BC"/>
    <w:rsid w:val="00545BAB"/>
    <w:rsid w:val="00590DF4"/>
    <w:rsid w:val="005C6338"/>
    <w:rsid w:val="005D0127"/>
    <w:rsid w:val="00633B17"/>
    <w:rsid w:val="00646654"/>
    <w:rsid w:val="00663457"/>
    <w:rsid w:val="006C787C"/>
    <w:rsid w:val="006E3DE2"/>
    <w:rsid w:val="007534E3"/>
    <w:rsid w:val="007B1BD4"/>
    <w:rsid w:val="007D5E77"/>
    <w:rsid w:val="00814BA3"/>
    <w:rsid w:val="008152B0"/>
    <w:rsid w:val="00843F2E"/>
    <w:rsid w:val="008770F0"/>
    <w:rsid w:val="00883DD5"/>
    <w:rsid w:val="008A4D0D"/>
    <w:rsid w:val="008A6F95"/>
    <w:rsid w:val="00924CB2"/>
    <w:rsid w:val="00956D2F"/>
    <w:rsid w:val="00966545"/>
    <w:rsid w:val="009A5685"/>
    <w:rsid w:val="009D48DC"/>
    <w:rsid w:val="009E5784"/>
    <w:rsid w:val="00A004CF"/>
    <w:rsid w:val="00A45B31"/>
    <w:rsid w:val="00A655CF"/>
    <w:rsid w:val="00A87960"/>
    <w:rsid w:val="00A87AA3"/>
    <w:rsid w:val="00B47D29"/>
    <w:rsid w:val="00B5520E"/>
    <w:rsid w:val="00B72AA9"/>
    <w:rsid w:val="00B77662"/>
    <w:rsid w:val="00BA1426"/>
    <w:rsid w:val="00BA5853"/>
    <w:rsid w:val="00C04639"/>
    <w:rsid w:val="00C34F1A"/>
    <w:rsid w:val="00C471A1"/>
    <w:rsid w:val="00C60935"/>
    <w:rsid w:val="00C65F09"/>
    <w:rsid w:val="00CE5D36"/>
    <w:rsid w:val="00D07E8E"/>
    <w:rsid w:val="00D13D28"/>
    <w:rsid w:val="00D153C1"/>
    <w:rsid w:val="00D2501B"/>
    <w:rsid w:val="00D33D8F"/>
    <w:rsid w:val="00D34D61"/>
    <w:rsid w:val="00D43CE6"/>
    <w:rsid w:val="00D936A8"/>
    <w:rsid w:val="00DA289F"/>
    <w:rsid w:val="00DB13BB"/>
    <w:rsid w:val="00DF05FF"/>
    <w:rsid w:val="00DF4573"/>
    <w:rsid w:val="00E01818"/>
    <w:rsid w:val="00E0765F"/>
    <w:rsid w:val="00E25793"/>
    <w:rsid w:val="00E31E60"/>
    <w:rsid w:val="00E35F10"/>
    <w:rsid w:val="00E549AE"/>
    <w:rsid w:val="00E60C18"/>
    <w:rsid w:val="00E6208D"/>
    <w:rsid w:val="00EC0809"/>
    <w:rsid w:val="00F12573"/>
    <w:rsid w:val="00F53553"/>
    <w:rsid w:val="03A132F3"/>
    <w:rsid w:val="04C07E5F"/>
    <w:rsid w:val="19560A59"/>
    <w:rsid w:val="1C496371"/>
    <w:rsid w:val="28E8704B"/>
    <w:rsid w:val="29D47C5C"/>
    <w:rsid w:val="2A4822AF"/>
    <w:rsid w:val="2E8D617B"/>
    <w:rsid w:val="32777821"/>
    <w:rsid w:val="39AE61CA"/>
    <w:rsid w:val="419C0824"/>
    <w:rsid w:val="44244964"/>
    <w:rsid w:val="536B2CB8"/>
    <w:rsid w:val="57404164"/>
    <w:rsid w:val="5AD277FB"/>
    <w:rsid w:val="5E145AF2"/>
    <w:rsid w:val="5F412942"/>
    <w:rsid w:val="5FA47421"/>
    <w:rsid w:val="60785E58"/>
    <w:rsid w:val="66EC3CFC"/>
    <w:rsid w:val="6A5519A2"/>
    <w:rsid w:val="6D8C75E7"/>
    <w:rsid w:val="75D2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