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7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济宁经济开发区公用热力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有限公司</w:t>
      </w:r>
    </w:p>
    <w:p>
      <w:pPr>
        <w:pStyle w:val="2"/>
        <w:spacing w:line="700" w:lineRule="exact"/>
        <w:jc w:val="center"/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</w:pP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5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三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季度财务等重大信息公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/>
        </w:rPr>
        <w:t>开</w:t>
      </w:r>
    </w:p>
    <w:p>
      <w:pPr>
        <w:pStyle w:val="2"/>
        <w:spacing w:line="7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  <w:lang w:val="en-US"/>
        </w:rPr>
      </w:pPr>
    </w:p>
    <w:p>
      <w:pPr>
        <w:pStyle w:val="2"/>
        <w:numPr>
          <w:ilvl w:val="0"/>
          <w:numId w:val="1"/>
        </w:numPr>
        <w:spacing w:line="580" w:lineRule="exact"/>
        <w:ind w:firstLine="643" w:firstLineChars="200"/>
        <w:jc w:val="both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公司基本情况</w:t>
      </w:r>
    </w:p>
    <w:p>
      <w:pPr>
        <w:pStyle w:val="2"/>
        <w:spacing w:line="580" w:lineRule="exact"/>
        <w:ind w:firstLine="643" w:firstLineChars="200"/>
        <w:jc w:val="both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（一）基本信息</w:t>
      </w:r>
    </w:p>
    <w:p>
      <w:pPr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1.公司名称：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济宁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经济开发区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公用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热力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 xml:space="preserve">有限公司 </w:t>
      </w:r>
    </w:p>
    <w:p>
      <w:pPr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2.法定代表人：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陈迈超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textAlignment w:val="auto"/>
        <w:outlineLvl w:val="9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3.注册地址：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嘉祥县吉祥路北高庙社区西300米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textAlignment w:val="auto"/>
        <w:outlineLvl w:val="9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4.经营范围：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城区集中供热，新能源技术研发和利用，热力工程设计，咨询及施工，热力设备销售，合同能源管理，管道保温防腐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方正楷体简体" w:hAnsi="方正楷体简体" w:eastAsia="方正楷体简体" w:cs="方正楷体简体"/>
          <w:b/>
          <w:bCs/>
          <w:lang w:val="en-US" w:eastAsia="zh-CN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2"/>
          <w:szCs w:val="32"/>
          <w:lang w:val="en-US"/>
        </w:rPr>
        <w:t>（二）公司简介</w:t>
      </w:r>
      <w:r>
        <w:rPr>
          <w:rFonts w:hint="eastAsia" w:ascii="方正楷体简体" w:hAnsi="方正楷体简体" w:eastAsia="方正楷体简体" w:cs="方正楷体简体"/>
          <w:b/>
          <w:bCs/>
          <w:sz w:val="32"/>
          <w:szCs w:val="32"/>
          <w:lang w:val="en-US" w:eastAsia="zh-CN"/>
        </w:rPr>
        <w:t>：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eastAsia="zh-CN"/>
        </w:rPr>
        <w:t>济宁经济开发区公用热力有限公司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成立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于20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19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年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月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eastAsia="zh-CN"/>
        </w:rPr>
        <w:t>隶属山东公用热电集团有限公司。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负责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济宁经济开发区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供热运营工作，区域内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现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接入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供热面积约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万</w:t>
      </w:r>
      <w:r>
        <w:rPr>
          <w:rFonts w:hint="default" w:ascii="Times New Roman" w:hAnsi="Times New Roman" w:eastAsia="宋体" w:cs="Times New Roman"/>
          <w:b/>
          <w:color w:val="auto"/>
          <w:sz w:val="32"/>
          <w:szCs w:val="32"/>
        </w:rPr>
        <w:t>㎡</w:t>
      </w:r>
      <w:r>
        <w:rPr>
          <w:rFonts w:hint="eastAsia" w:ascii="Times New Roman" w:hAnsi="Times New Roman" w:eastAsia="宋体" w:cs="Times New Roman"/>
          <w:b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共有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个换热站。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eastAsia="zh-CN"/>
        </w:rPr>
        <w:t>经开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公司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2021年正式开展供热运营，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依托山东公用热电集团先进的供热服务理念、成熟的供热经验及扎实的人才队伍，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打破了济宁经济开发区多年来无集中供热的局面。</w:t>
      </w:r>
    </w:p>
    <w:p>
      <w:pPr>
        <w:pStyle w:val="2"/>
        <w:numPr>
          <w:ilvl w:val="0"/>
          <w:numId w:val="1"/>
        </w:numPr>
        <w:spacing w:line="580" w:lineRule="exact"/>
        <w:ind w:firstLine="643" w:firstLineChars="200"/>
        <w:jc w:val="both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主要会计数据和财务指标</w:t>
      </w:r>
    </w:p>
    <w:p>
      <w:pPr>
        <w:pStyle w:val="2"/>
        <w:numPr>
          <w:ilvl w:val="0"/>
          <w:numId w:val="0"/>
        </w:numPr>
        <w:spacing w:line="580" w:lineRule="exact"/>
        <w:jc w:val="both"/>
        <w:rPr>
          <w:rFonts w:ascii="方正黑体简体" w:hAnsi="方正黑体简体" w:eastAsia="方正黑体简体" w:cs="方正黑体简体"/>
          <w:b/>
          <w:bCs/>
          <w:lang w:val="en-US"/>
        </w:rPr>
      </w:pPr>
    </w:p>
    <w:p>
      <w:pPr>
        <w:pStyle w:val="2"/>
        <w:spacing w:line="580" w:lineRule="exact"/>
        <w:jc w:val="center"/>
        <w:rPr>
          <w:rFonts w:ascii="方正黑体简体" w:hAnsi="方正黑体简体" w:eastAsia="方正黑体简体" w:cs="方正黑体简体"/>
          <w:b/>
          <w:bCs/>
          <w:highlight w:val="none"/>
          <w:lang w:val="en-US"/>
        </w:rPr>
      </w:pP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202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 w:eastAsia="zh-CN"/>
        </w:rPr>
        <w:t>5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年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 w:eastAsia="zh-CN"/>
        </w:rPr>
        <w:t>三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/>
        </w:rPr>
        <w:t>季度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主要财务数据</w:t>
      </w:r>
    </w:p>
    <w:p>
      <w:pPr>
        <w:pStyle w:val="2"/>
        <w:spacing w:line="600" w:lineRule="exact"/>
        <w:ind w:firstLine="6023" w:firstLineChars="2000"/>
        <w:jc w:val="both"/>
        <w:rPr>
          <w:rFonts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  <w:t>单位：人民币万元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79"/>
        <w:gridCol w:w="39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079" w:type="dxa"/>
          </w:tcPr>
          <w:p>
            <w:pPr>
              <w:pStyle w:val="2"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项  目</w:t>
            </w:r>
          </w:p>
        </w:tc>
        <w:tc>
          <w:tcPr>
            <w:tcW w:w="3975" w:type="dxa"/>
          </w:tcPr>
          <w:p>
            <w:pPr>
              <w:pStyle w:val="2"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本期金额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079" w:type="dxa"/>
          </w:tcPr>
          <w:p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营业总收入</w:t>
            </w:r>
          </w:p>
        </w:tc>
        <w:tc>
          <w:tcPr>
            <w:tcW w:w="3975" w:type="dxa"/>
          </w:tcPr>
          <w:p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400.82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079" w:type="dxa"/>
          </w:tcPr>
          <w:p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营业总成本</w:t>
            </w:r>
          </w:p>
        </w:tc>
        <w:tc>
          <w:tcPr>
            <w:tcW w:w="3975" w:type="dxa"/>
          </w:tcPr>
          <w:p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316.61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079" w:type="dxa"/>
          </w:tcPr>
          <w:p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利润总额</w:t>
            </w:r>
          </w:p>
        </w:tc>
        <w:tc>
          <w:tcPr>
            <w:tcW w:w="3975" w:type="dxa"/>
          </w:tcPr>
          <w:p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84.21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079" w:type="dxa"/>
          </w:tcPr>
          <w:p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净利润</w:t>
            </w:r>
          </w:p>
        </w:tc>
        <w:tc>
          <w:tcPr>
            <w:tcW w:w="3975" w:type="dxa"/>
          </w:tcPr>
          <w:p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80.99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079" w:type="dxa"/>
          </w:tcPr>
          <w:p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资产总额</w:t>
            </w:r>
          </w:p>
        </w:tc>
        <w:tc>
          <w:tcPr>
            <w:tcW w:w="3975" w:type="dxa"/>
          </w:tcPr>
          <w:p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2790.49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079" w:type="dxa"/>
          </w:tcPr>
          <w:p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负债总额</w:t>
            </w:r>
          </w:p>
        </w:tc>
        <w:tc>
          <w:tcPr>
            <w:tcW w:w="3975" w:type="dxa"/>
          </w:tcPr>
          <w:p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725.47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079" w:type="dxa"/>
          </w:tcPr>
          <w:p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所有者权益</w:t>
            </w:r>
          </w:p>
        </w:tc>
        <w:tc>
          <w:tcPr>
            <w:tcW w:w="3975" w:type="dxa"/>
          </w:tcPr>
          <w:p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2065.02</w:t>
            </w:r>
          </w:p>
        </w:tc>
      </w:tr>
    </w:tbl>
    <w:p>
      <w:pPr>
        <w:spacing w:line="200" w:lineRule="exact"/>
        <w:ind w:left="641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</w:p>
    <w:p>
      <w:pPr>
        <w:spacing w:line="580" w:lineRule="exact"/>
        <w:ind w:left="640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>三、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</w:rPr>
        <w:t>财务预算执行情况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 xml:space="preserve">   </w:t>
      </w:r>
    </w:p>
    <w:p>
      <w:pPr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预算营业总收入502万元，实际完成率80%；预算利润总额 203万元，实际完成率41%。</w:t>
      </w:r>
    </w:p>
    <w:p>
      <w:pPr>
        <w:numPr>
          <w:ilvl w:val="0"/>
          <w:numId w:val="0"/>
        </w:numPr>
        <w:spacing w:line="580" w:lineRule="exact"/>
        <w:ind w:leftChars="200" w:firstLine="321" w:firstLineChars="100"/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 w:eastAsia="zh-CN"/>
        </w:rPr>
        <w:t>四、三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季度内重大事项及对企业的影响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textAlignment w:val="auto"/>
        <w:outlineLvl w:val="9"/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简体" w:cs="Times New Roman"/>
          <w:b/>
          <w:sz w:val="32"/>
          <w:szCs w:val="32"/>
          <w:lang w:val="en-US" w:eastAsia="zh-CN"/>
        </w:rPr>
        <w:t>三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季度，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山东公用热电集团有限公司对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我公司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追加投资600万元，截止9月底我公司注册资本金1500万元整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。</w:t>
      </w:r>
    </w:p>
    <w:p>
      <w:pPr>
        <w:numPr>
          <w:ilvl w:val="0"/>
          <w:numId w:val="0"/>
        </w:numPr>
        <w:spacing w:line="580" w:lineRule="exact"/>
        <w:ind w:leftChars="200"/>
        <w:rPr>
          <w:rFonts w:hint="default" w:ascii="方正黑体简体" w:hAnsi="方正黑体简体" w:eastAsia="方正黑体简体" w:cs="方正黑体简体"/>
          <w:b/>
          <w:sz w:val="32"/>
          <w:szCs w:val="32"/>
          <w:lang w:val="en-US" w:eastAsia="zh-CN"/>
        </w:rPr>
      </w:pPr>
    </w:p>
    <w:p>
      <w:pPr>
        <w:spacing w:line="580" w:lineRule="exact"/>
        <w:ind w:firstLine="640" w:firstLineChars="200"/>
        <w:rPr>
          <w:rFonts w:ascii="方正黑体简体" w:hAnsi="方正黑体简体" w:eastAsia="方正黑体简体" w:cs="方正黑体简体"/>
          <w:sz w:val="32"/>
          <w:szCs w:val="32"/>
          <w:lang w:val="en-US"/>
        </w:rPr>
      </w:pPr>
    </w:p>
    <w:p>
      <w:pPr>
        <w:spacing w:line="580" w:lineRule="exact"/>
        <w:ind w:firstLine="640" w:firstLineChars="200"/>
        <w:rPr>
          <w:rFonts w:ascii="方正黑体简体" w:hAnsi="方正黑体简体" w:eastAsia="方正黑体简体" w:cs="方正黑体简体"/>
          <w:sz w:val="32"/>
          <w:szCs w:val="32"/>
          <w:highlight w:val="yellow"/>
          <w:lang w:val="en-US"/>
        </w:rPr>
      </w:pPr>
    </w:p>
    <w:p>
      <w:pPr>
        <w:rPr>
          <w:highlight w:val="yellow"/>
          <w:lang w:val="en-US"/>
        </w:rPr>
      </w:pPr>
    </w:p>
    <w:p>
      <w:pPr>
        <w:ind w:firstLine="4498" w:firstLineChars="1400"/>
        <w:jc w:val="both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  <w:bookmarkStart w:id="0" w:name="_GoBack"/>
      <w:bookmarkEnd w:id="0"/>
    </w:p>
    <w:p>
      <w:pPr>
        <w:widowControl/>
        <w:autoSpaceDE/>
        <w:autoSpaceDN/>
        <w:jc w:val="center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sectPr>
      <w:footerReference r:id="rId3" w:type="default"/>
      <w:pgSz w:w="11906" w:h="16838"/>
      <w:pgMar w:top="2098" w:right="1474" w:bottom="1701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3CE7D2F"/>
    <w:multiLevelType w:val="singleLevel"/>
    <w:tmpl w:val="D3CE7D2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