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286C0"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山东公用控股有限公司</w:t>
      </w:r>
    </w:p>
    <w:p w14:paraId="22DCDECD"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38ECD974"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4598FCAB">
      <w:pPr>
        <w:spacing w:line="580" w:lineRule="exact"/>
        <w:ind w:firstLine="619" w:firstLineChars="200"/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  <w:t>本信息公告口径说明：指标数据为山东公用法定合并报表口径。</w:t>
      </w:r>
    </w:p>
    <w:p w14:paraId="76E4490F">
      <w:pPr>
        <w:pStyle w:val="3"/>
        <w:spacing w:line="600" w:lineRule="exact"/>
        <w:ind w:firstLine="640" w:firstLineChars="200"/>
        <w:jc w:val="both"/>
        <w:rPr>
          <w:rFonts w:hint="eastAsia" w:ascii="方正黑体简体" w:hAnsi="方正黑体简体" w:eastAsia="方正黑体简体" w:cs="方正黑体简体"/>
          <w:lang w:val="en-US"/>
        </w:rPr>
      </w:pPr>
    </w:p>
    <w:p w14:paraId="4F41AD24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786C8A4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08D2D53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称：山东公用控股有限公司</w:t>
      </w:r>
    </w:p>
    <w:p w14:paraId="66DBC32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2.企业类型：有限责任公司</w:t>
      </w:r>
      <w:bookmarkStart w:id="0" w:name="_GoBack"/>
      <w:bookmarkEnd w:id="0"/>
    </w:p>
    <w:p w14:paraId="1455137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3.成立日期：1993-06-27</w:t>
      </w:r>
    </w:p>
    <w:p w14:paraId="188FC10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4.法定代表人：李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 </w:t>
      </w:r>
      <w:r>
        <w:rPr>
          <w:rFonts w:ascii="Times New Roman" w:hAnsi="Times New Roman" w:eastAsia="方正仿宋简体" w:cs="Times New Roman"/>
          <w:b/>
          <w:bCs/>
          <w:lang w:val="en-US"/>
        </w:rPr>
        <w:t>鲁</w:t>
      </w:r>
    </w:p>
    <w:p w14:paraId="0E56D9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5.注册地址：济宁市红星中路23号</w:t>
      </w:r>
    </w:p>
    <w:p w14:paraId="62C5CBE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</w:p>
    <w:p w14:paraId="33B55D2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自来水生产与供应；污水处理及其再生利用；热力生产和供应；建设工程施工；建设工程设计；水利工程建设监理；证券投资咨询；房地产开发经营；发电业务、输电业务、供（配）电业务；饮料生产。（依法须经批准的项目，经相关部门批准后方可开展经营活动，具体经营</w:t>
      </w: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项目以相关部门批准文件或许可证件为准）。</w:t>
      </w:r>
    </w:p>
    <w:p w14:paraId="5330F02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一般项目：水污染治理；水资源管理；创业投资（限投资未上市企业）；企业管理咨询；市场营销策划；私募股权投资基金管理、创业投资基金管理服务（须在中国证券投资基金业协会完成登记备案后方可从事经营活动）；销售代理；市政设施管理；财务咨询；储能技术服务；新能源原动设备销售；非居住房地产租赁；会议及展览服务；发电机及发电机组销售；工程管理服务；商业综合体管理服务；技术服务、技术开发、技术咨询、技术交流、技术转让、技术推广；专用化学产品销售（不含危险化学品）；煤炭及制品销售；五金产品批发；有色金属合金销售；建筑材料销售；合成材料销售；砼结构构件销售；建筑装饰材料销售；生态环境材料销售。（除依法须经批准的项目外，凭营业执照依法自主开展经营活动）</w:t>
      </w:r>
    </w:p>
    <w:p w14:paraId="1AA3A93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481E4DD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山东公用控股有限公司是集城乡水务、热电联产、燃气供应、环保科技、建设工程、智能制造、医养健康于一体的城乡综合服务商。公司注册资本100亿元，下辖各级子公司140余户。截至2025年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月底，公司资产总额达到79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8.24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亿元，员工1.1万余人，日供水能力150万立方米，日污水治理能力180万立方米，供热面积7300余万平方米，天然气用户60余万户，服务人口超过1600万人，是济宁市首家获得“AAA”级主体信用等级的企业。先后荣获全国文明单位、全国五一劳动奖状、全国先进职工之家、山东省“攻坚克难奖”、山东省先进基层党组织等荣誉称号。近年来，山东公用把握深化国企改革的历史机遇，以“公用产业+基础设施+先进制造”为驱动，全力打造民生公用、活力公用、生态公用、智慧公用和品质公用“五个公用”，大力实施城市更新行动，建立了多元发展、多极支撑的现代产业体系。城乡供水、集中供热、生态治理等公用产业经营范围涉及到山东、新疆、陕西、甘肃、山西、河南等多个地区，还承建了包括济宁市主城区内环高架及连接线，崇德大道（济宁主城区至曲阜快速路），济邹、兖郓高速公路，共青团路北延高铁连接线，济宁市农村生活污水治理工程，济宁市引黄西线工程，长江、运河地表水厂等一批省、市重点基础设施建设项目。目前，山东公用的整体规模和综合实力已处于省内领先，进入全国第一方阵。</w:t>
      </w:r>
    </w:p>
    <w:p w14:paraId="70A1F1AB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709C288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jc w:val="center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5</w:t>
      </w:r>
      <w:r>
        <w:rPr>
          <w:rFonts w:ascii="Times New Roman" w:hAnsi="Times New Roman" w:eastAsia="方正黑体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中期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 w14:paraId="3E73E4E5">
      <w:pPr>
        <w:pStyle w:val="3"/>
        <w:spacing w:line="600" w:lineRule="exact"/>
        <w:ind w:firstLine="6325" w:firstLineChars="2100"/>
        <w:jc w:val="both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tblInd w:w="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2940"/>
        <w:gridCol w:w="2910"/>
      </w:tblGrid>
      <w:tr w14:paraId="5B49D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193EED66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2940" w:type="dxa"/>
          </w:tcPr>
          <w:p w14:paraId="059084BB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  <w:tc>
          <w:tcPr>
            <w:tcW w:w="2910" w:type="dxa"/>
          </w:tcPr>
          <w:p w14:paraId="0FBE5804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上期金额</w:t>
            </w:r>
          </w:p>
        </w:tc>
      </w:tr>
      <w:tr w14:paraId="48858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77F78EB7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2940" w:type="dxa"/>
            <w:vAlign w:val="center"/>
          </w:tcPr>
          <w:p w14:paraId="0677BA37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057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07</w:t>
            </w:r>
          </w:p>
        </w:tc>
        <w:tc>
          <w:tcPr>
            <w:tcW w:w="2910" w:type="dxa"/>
            <w:vAlign w:val="center"/>
          </w:tcPr>
          <w:p w14:paraId="39C88A4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48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814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57</w:t>
            </w:r>
          </w:p>
        </w:tc>
      </w:tr>
      <w:tr w14:paraId="3B9B5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1B46BE65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2940" w:type="dxa"/>
            <w:vAlign w:val="center"/>
          </w:tcPr>
          <w:p w14:paraId="6BE518B5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122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60</w:t>
            </w:r>
          </w:p>
        </w:tc>
        <w:tc>
          <w:tcPr>
            <w:tcW w:w="2910" w:type="dxa"/>
            <w:vAlign w:val="center"/>
          </w:tcPr>
          <w:p w14:paraId="77ACBC5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40</w:t>
            </w:r>
          </w:p>
        </w:tc>
      </w:tr>
      <w:tr w14:paraId="00324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2038889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2940" w:type="dxa"/>
            <w:vAlign w:val="center"/>
          </w:tcPr>
          <w:p w14:paraId="2EF9EE5F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30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422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07</w:t>
            </w:r>
          </w:p>
        </w:tc>
        <w:tc>
          <w:tcPr>
            <w:tcW w:w="2910" w:type="dxa"/>
            <w:vAlign w:val="center"/>
          </w:tcPr>
          <w:p w14:paraId="09E7FAB1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097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92</w:t>
            </w:r>
          </w:p>
        </w:tc>
      </w:tr>
      <w:tr w14:paraId="06E7E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0039081A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项  目</w:t>
            </w:r>
          </w:p>
        </w:tc>
        <w:tc>
          <w:tcPr>
            <w:tcW w:w="2940" w:type="dxa"/>
          </w:tcPr>
          <w:p w14:paraId="5DE0C5E9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期末余额</w:t>
            </w:r>
          </w:p>
        </w:tc>
        <w:tc>
          <w:tcPr>
            <w:tcW w:w="2910" w:type="dxa"/>
          </w:tcPr>
          <w:p w14:paraId="39DBE894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期初余额</w:t>
            </w:r>
          </w:p>
        </w:tc>
      </w:tr>
      <w:tr w14:paraId="5E16B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20" w:type="dxa"/>
          </w:tcPr>
          <w:p w14:paraId="568A0A7D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2940" w:type="dxa"/>
            <w:vAlign w:val="center"/>
          </w:tcPr>
          <w:p w14:paraId="74A23FEE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982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400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20</w:t>
            </w:r>
          </w:p>
        </w:tc>
        <w:tc>
          <w:tcPr>
            <w:tcW w:w="2910" w:type="dxa"/>
            <w:vAlign w:val="center"/>
          </w:tcPr>
          <w:p w14:paraId="7009F023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702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631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15</w:t>
            </w:r>
          </w:p>
        </w:tc>
      </w:tr>
      <w:tr w14:paraId="748C3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20" w:type="dxa"/>
          </w:tcPr>
          <w:p w14:paraId="0033A0EC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2940" w:type="dxa"/>
            <w:vAlign w:val="center"/>
          </w:tcPr>
          <w:p w14:paraId="0BCD179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735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123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70</w:t>
            </w:r>
          </w:p>
        </w:tc>
        <w:tc>
          <w:tcPr>
            <w:tcW w:w="2910" w:type="dxa"/>
            <w:vAlign w:val="center"/>
          </w:tcPr>
          <w:p w14:paraId="763F0693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495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294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14</w:t>
            </w:r>
          </w:p>
        </w:tc>
      </w:tr>
      <w:tr w14:paraId="434AA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20" w:type="dxa"/>
          </w:tcPr>
          <w:p w14:paraId="0B362ED7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2940" w:type="dxa"/>
            <w:vAlign w:val="center"/>
          </w:tcPr>
          <w:p w14:paraId="158E60DF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247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276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51</w:t>
            </w:r>
          </w:p>
        </w:tc>
        <w:tc>
          <w:tcPr>
            <w:tcW w:w="2910" w:type="dxa"/>
            <w:vAlign w:val="center"/>
          </w:tcPr>
          <w:p w14:paraId="1E53CCB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207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337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02</w:t>
            </w:r>
          </w:p>
        </w:tc>
      </w:tr>
    </w:tbl>
    <w:p w14:paraId="7DB59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left="64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 w14:paraId="65F5F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5"/>
        <w:textAlignment w:val="auto"/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</w:pP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中期，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公司实现营业总收入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74.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91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161.46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46.40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3.04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3.47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87.61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%。</w:t>
      </w:r>
    </w:p>
    <w:p w14:paraId="35160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四、中期内重大事项及对企业的影响</w:t>
      </w:r>
    </w:p>
    <w:p w14:paraId="5E955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无。</w:t>
      </w:r>
    </w:p>
    <w:p w14:paraId="29BCAFA0">
      <w:pPr>
        <w:spacing w:line="580" w:lineRule="exact"/>
        <w:ind w:firstLine="640" w:firstLineChars="200"/>
        <w:rPr>
          <w:rFonts w:hint="eastAsia" w:ascii="方正黑体简体" w:hAnsi="方正黑体简体" w:eastAsia="方正黑体简体" w:cs="方正黑体简体"/>
          <w:sz w:val="32"/>
          <w:szCs w:val="32"/>
          <w:lang w:val="en-US"/>
        </w:rPr>
      </w:pPr>
    </w:p>
    <w:p w14:paraId="0A0C2C81">
      <w:pPr>
        <w:rPr>
          <w:rFonts w:hint="eastAsia"/>
          <w:lang w:val="en-US"/>
        </w:rPr>
      </w:pPr>
    </w:p>
    <w:p w14:paraId="2EE50BCB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0D79CE6C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5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