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A82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山东公用环保集团检测运营有限公司</w:t>
      </w:r>
    </w:p>
    <w:p w14:paraId="51EA9F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5年中期财务等重大信息公开</w:t>
      </w:r>
    </w:p>
    <w:p w14:paraId="0427C5F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</w:p>
    <w:p w14:paraId="32C296F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一、企业基本情况</w:t>
      </w:r>
    </w:p>
    <w:p w14:paraId="03FD495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山东公用环保集团检测运营有限公司成立于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2020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月，地址位于山东省济宁北湖省级旅游度假区荷花路京投总部大厦A座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14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楼，注册资本金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2000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万元。公司主营业务为污染源在线自动监测系统的销售及运维、空气质量自动监测站建设机运维、水质自动监测站的建设及运维、环保污染治理设施解决方案及技术服务、智慧环保综合解决方案。公司拥有中环协（北京）认证中心颁发的（水、气）一级运营资质，通过了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ISO9001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质量管理体系认证、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ISO14001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环境管理体系认证、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ISO18000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职业健康安全管理体系认证，先后被评为信用等级AAA、“守合同重信用企业”。</w:t>
      </w:r>
    </w:p>
    <w:p w14:paraId="6CEEF93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二、202</w:t>
      </w:r>
      <w:r>
        <w:rPr>
          <w:rFonts w:hint="eastAsia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5</w:t>
      </w: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上半年</w:t>
      </w: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主要财务数据</w:t>
      </w:r>
    </w:p>
    <w:tbl>
      <w:tblPr>
        <w:tblStyle w:val="6"/>
        <w:tblW w:w="4777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3"/>
        <w:gridCol w:w="3031"/>
        <w:gridCol w:w="3033"/>
      </w:tblGrid>
      <w:tr w14:paraId="7ABCEE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9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3C2BE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9AD96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75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1869D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单位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  <w:t>：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万元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  <w:t>）</w:t>
            </w:r>
          </w:p>
        </w:tc>
      </w:tr>
      <w:tr w14:paraId="0D8670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13F8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项目</w:t>
            </w:r>
          </w:p>
        </w:tc>
        <w:tc>
          <w:tcPr>
            <w:tcW w:w="1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D975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本期金额</w:t>
            </w:r>
          </w:p>
        </w:tc>
        <w:tc>
          <w:tcPr>
            <w:tcW w:w="17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B9E0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上期金额</w:t>
            </w:r>
          </w:p>
        </w:tc>
      </w:tr>
      <w:tr w14:paraId="0B1530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E1D8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营业总收入</w:t>
            </w:r>
          </w:p>
        </w:tc>
        <w:tc>
          <w:tcPr>
            <w:tcW w:w="1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B8A2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2767.00</w:t>
            </w:r>
          </w:p>
        </w:tc>
        <w:tc>
          <w:tcPr>
            <w:tcW w:w="17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BDC4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2535.00</w:t>
            </w:r>
          </w:p>
        </w:tc>
      </w:tr>
      <w:tr w14:paraId="17A8ED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DFA4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营业总成本</w:t>
            </w:r>
          </w:p>
        </w:tc>
        <w:tc>
          <w:tcPr>
            <w:tcW w:w="1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8980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2370.00</w:t>
            </w:r>
          </w:p>
        </w:tc>
        <w:tc>
          <w:tcPr>
            <w:tcW w:w="17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0850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2178.00</w:t>
            </w:r>
          </w:p>
        </w:tc>
      </w:tr>
      <w:tr w14:paraId="7BCE1B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3BC8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利润总额</w:t>
            </w:r>
          </w:p>
        </w:tc>
        <w:tc>
          <w:tcPr>
            <w:tcW w:w="1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245D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444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7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4F3A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371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  <w:tr w14:paraId="53C9CF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37B2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资产总额</w:t>
            </w:r>
          </w:p>
        </w:tc>
        <w:tc>
          <w:tcPr>
            <w:tcW w:w="1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2E8C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16995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7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C87A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11152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  <w:tr w14:paraId="737346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E4C0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负债总额</w:t>
            </w:r>
          </w:p>
        </w:tc>
        <w:tc>
          <w:tcPr>
            <w:tcW w:w="1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F2DF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9882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7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B44E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6474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  <w:tr w14:paraId="481168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A67E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所有者权益</w:t>
            </w:r>
          </w:p>
        </w:tc>
        <w:tc>
          <w:tcPr>
            <w:tcW w:w="1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A21F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7113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7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5EE9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4678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</w:tbl>
    <w:p w14:paraId="4B7C3B9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年度主要财务预算指标</w:t>
      </w:r>
    </w:p>
    <w:p w14:paraId="166FB52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营业总收入4,0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89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39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万元，利润总额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500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.00万元。</w:t>
      </w:r>
    </w:p>
    <w:p w14:paraId="32EAB11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四、上半年财务预算执行情况</w:t>
      </w:r>
    </w:p>
    <w:p w14:paraId="187E540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5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上半年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，山东公用环保集团检测运营有限公司累计实现营业总收入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2767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.00万元，完成年度预算40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89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39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万元的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67.66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%，实现利润总额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444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.00万元，完成年度预算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500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.00万元的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88.80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%。</w:t>
      </w:r>
    </w:p>
    <w:p w14:paraId="14F67E6B">
      <w:pPr>
        <w:rPr>
          <w:rFonts w:hint="eastAsia"/>
          <w:b/>
          <w:bCs/>
        </w:rPr>
      </w:pPr>
    </w:p>
    <w:p w14:paraId="243825E3">
      <w:pPr>
        <w:rPr>
          <w:rFonts w:hint="eastAsia"/>
          <w:b/>
          <w:bCs/>
          <w:sz w:val="32"/>
          <w:szCs w:val="32"/>
        </w:rPr>
      </w:pPr>
      <w:bookmarkStart w:id="0" w:name="_GoBack"/>
      <w:bookmarkEnd w:id="0"/>
    </w:p>
    <w:p w14:paraId="186FD96F">
      <w:pPr>
        <w:rPr>
          <w:b/>
          <w:bCs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xNTJjZmRkYWUzNjU4MWRkYzBjZjA2Y2MzYmM0OTEifQ=="/>
  </w:docVars>
  <w:rsids>
    <w:rsidRoot w:val="7B952FE1"/>
    <w:rsid w:val="03412A96"/>
    <w:rsid w:val="03D90C05"/>
    <w:rsid w:val="041B0A5C"/>
    <w:rsid w:val="04AE0E61"/>
    <w:rsid w:val="05E06CA4"/>
    <w:rsid w:val="06FE6B3F"/>
    <w:rsid w:val="0FCC034E"/>
    <w:rsid w:val="0FDF6D31"/>
    <w:rsid w:val="136441CE"/>
    <w:rsid w:val="14B24AC5"/>
    <w:rsid w:val="15001CD4"/>
    <w:rsid w:val="171658C8"/>
    <w:rsid w:val="1783099B"/>
    <w:rsid w:val="18697B91"/>
    <w:rsid w:val="19533E9A"/>
    <w:rsid w:val="198C19F9"/>
    <w:rsid w:val="1EEC4587"/>
    <w:rsid w:val="1F1C3BAF"/>
    <w:rsid w:val="22EF5136"/>
    <w:rsid w:val="262339B3"/>
    <w:rsid w:val="2700688F"/>
    <w:rsid w:val="2A48639C"/>
    <w:rsid w:val="2B3F7F4B"/>
    <w:rsid w:val="2F0168ED"/>
    <w:rsid w:val="2F454A5C"/>
    <w:rsid w:val="2F4F58DB"/>
    <w:rsid w:val="2F7E1D1C"/>
    <w:rsid w:val="31927D00"/>
    <w:rsid w:val="375571FE"/>
    <w:rsid w:val="38CA5FD2"/>
    <w:rsid w:val="3E0F6783"/>
    <w:rsid w:val="3E407C7A"/>
    <w:rsid w:val="41AB590C"/>
    <w:rsid w:val="44DD3D5F"/>
    <w:rsid w:val="47102B42"/>
    <w:rsid w:val="4AB0180A"/>
    <w:rsid w:val="4C891645"/>
    <w:rsid w:val="4D3E6805"/>
    <w:rsid w:val="4E207914"/>
    <w:rsid w:val="503F3F3D"/>
    <w:rsid w:val="505418DC"/>
    <w:rsid w:val="52F507C3"/>
    <w:rsid w:val="5474356A"/>
    <w:rsid w:val="55F7458E"/>
    <w:rsid w:val="5B741F47"/>
    <w:rsid w:val="5E291699"/>
    <w:rsid w:val="5F1C212B"/>
    <w:rsid w:val="61105020"/>
    <w:rsid w:val="61132D26"/>
    <w:rsid w:val="64D57CB4"/>
    <w:rsid w:val="6A242EE4"/>
    <w:rsid w:val="6C696AEF"/>
    <w:rsid w:val="6CD93ED8"/>
    <w:rsid w:val="6FDF3F39"/>
    <w:rsid w:val="6FEC1DAE"/>
    <w:rsid w:val="70AA37A9"/>
    <w:rsid w:val="78C41BF2"/>
    <w:rsid w:val="79464C25"/>
    <w:rsid w:val="7B952FE1"/>
    <w:rsid w:val="7CE65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ind w:firstLine="420" w:firstLineChars="200"/>
    </w:pPr>
  </w:style>
  <w:style w:type="paragraph" w:styleId="3">
    <w:name w:val="Body Text"/>
    <w:basedOn w:val="1"/>
    <w:next w:val="4"/>
    <w:qFormat/>
    <w:uiPriority w:val="0"/>
    <w:pPr>
      <w:spacing w:after="120" w:afterLines="0" w:afterAutospacing="0"/>
    </w:pPr>
  </w:style>
  <w:style w:type="paragraph" w:styleId="4">
    <w:name w:val="Body Text First Indent 2"/>
    <w:basedOn w:val="5"/>
    <w:next w:val="1"/>
    <w:autoRedefine/>
    <w:qFormat/>
    <w:uiPriority w:val="99"/>
    <w:pPr>
      <w:tabs>
        <w:tab w:val="left" w:pos="945"/>
        <w:tab w:val="left" w:pos="1155"/>
      </w:tabs>
      <w:spacing w:after="120"/>
      <w:ind w:left="420" w:leftChars="200" w:firstLine="420" w:firstLineChars="200"/>
    </w:pPr>
    <w:rPr>
      <w:rFonts w:ascii="Times New Roman"/>
      <w:kern w:val="0"/>
      <w:sz w:val="21"/>
      <w:szCs w:val="21"/>
    </w:rPr>
  </w:style>
  <w:style w:type="paragraph" w:styleId="5">
    <w:name w:val="Body Text Indent"/>
    <w:basedOn w:val="1"/>
    <w:next w:val="2"/>
    <w:qFormat/>
    <w:uiPriority w:val="99"/>
    <w:pPr>
      <w:tabs>
        <w:tab w:val="left" w:pos="945"/>
        <w:tab w:val="left" w:pos="1155"/>
      </w:tabs>
      <w:ind w:firstLine="435"/>
    </w:pPr>
    <w:rPr>
      <w:rFonts w:ascii="宋体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