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43A8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山东鹏程路桥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集团有限公司</w:t>
      </w:r>
    </w:p>
    <w:p w14:paraId="4197693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 w14:paraId="7B2D5BF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03576993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 w14:paraId="0350704C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 w14:paraId="285A39E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山东鹏程路桥集团有限公司成立于2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005年3月，坐落于孔孟之乡、运河之都——山东省济宁市,是一家以高等级公路、市政工程、桥梁工程及公路安全设施等为主业的综合性施工企业集团。</w:t>
      </w:r>
    </w:p>
    <w:p w14:paraId="5EBF536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具有国家公路工程施工总承包一级、公路路面工程专业承包一级、公路桥梁工程专业承包二级、市政公用工程施工总承包二级资质，试验室综合乙级资质，是山东省内为数不多的资质齐全且等级较高的公路、桥梁、市政基础设施综合性施工企业；公司先后通过了ISO9001质量管理、ISO14001环境管理、OHSAS18001职业健康安全管理三位一体体系认证，以及交通运输建筑施工企业安全生产标准化一级达标，为中国公路建设行业协会理事单位。</w:t>
      </w:r>
    </w:p>
    <w:p w14:paraId="60278FAD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 w14:paraId="73F3391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企业名称:山东鹏程路桥集团有限公司</w:t>
      </w:r>
    </w:p>
    <w:p w14:paraId="09F348D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注册地址:山东省济宁市嘉祥县建设北路61号</w:t>
      </w:r>
    </w:p>
    <w:p w14:paraId="4DF6BC7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嘉祥县行政审批服务局</w:t>
      </w:r>
    </w:p>
    <w:p w14:paraId="0EA8550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企业的经营范围为:许可项目：建设工程施工；建设工程设计；建设工程质量检测；公路管理与养护；路基路面养护作业。（依法须经批准的项目，经相关部门批准后方可开展经营活动，具体经营项目以相关部门批准文件或许可证件为准）一般项目：公路水运工程试验检测服务；园林绿化工程施工；机械设备租赁；建筑材料销售；水泥制品销售；市政设施管理；停车场服务；交通安全、管制专用设备制造；安全系统监控服务；交通及公共管理用标牌销售；金属材料销售；金属矿石销售；金属制品销售；金属结构销售；煤炭及制品销售；再生资源销售；电线、电缆经营。（除依法须经批准的项目外，凭营业执照依法自主开展经营活动）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28332B1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05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日</w:t>
      </w:r>
    </w:p>
    <w:p w14:paraId="24E339A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62C091A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主要财务数据</w:t>
      </w:r>
    </w:p>
    <w:p w14:paraId="20C22974"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 w14:paraId="09F48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 w14:paraId="0666941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 w14:paraId="41A4275A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 w14:paraId="00D716D0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 w14:paraId="35869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 w14:paraId="730EEE94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 w14:paraId="680409FD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156,008.00</w:t>
            </w:r>
          </w:p>
        </w:tc>
        <w:tc>
          <w:tcPr>
            <w:tcW w:w="3001" w:type="dxa"/>
            <w:vAlign w:val="center"/>
          </w:tcPr>
          <w:p w14:paraId="13DEDF9A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252,306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  <w:tr w14:paraId="05A23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 w14:paraId="69BAB696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 w14:paraId="59F5F90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144,702.00</w:t>
            </w:r>
          </w:p>
        </w:tc>
        <w:tc>
          <w:tcPr>
            <w:tcW w:w="3001" w:type="dxa"/>
            <w:vAlign w:val="center"/>
          </w:tcPr>
          <w:p w14:paraId="209CAAD1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242,676.00</w:t>
            </w:r>
          </w:p>
        </w:tc>
      </w:tr>
      <w:tr w14:paraId="78207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 w14:paraId="66D234D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 w14:paraId="3C5597F8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11,306.00</w:t>
            </w:r>
          </w:p>
        </w:tc>
        <w:tc>
          <w:tcPr>
            <w:tcW w:w="3001" w:type="dxa"/>
            <w:vAlign w:val="center"/>
          </w:tcPr>
          <w:p w14:paraId="4B0AF6FB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9,605.00</w:t>
            </w:r>
          </w:p>
        </w:tc>
      </w:tr>
      <w:tr w14:paraId="34ECD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 w14:paraId="3954889A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 w14:paraId="23492C15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 w14:paraId="05944A8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 w14:paraId="52BFC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 w14:paraId="2897C41F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 w14:paraId="63F7415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423,408.00</w:t>
            </w:r>
          </w:p>
        </w:tc>
        <w:tc>
          <w:tcPr>
            <w:tcW w:w="3001" w:type="dxa"/>
            <w:vAlign w:val="center"/>
          </w:tcPr>
          <w:p w14:paraId="754BE5C6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317,401.00</w:t>
            </w:r>
          </w:p>
        </w:tc>
      </w:tr>
      <w:tr w14:paraId="3350A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 w14:paraId="0332E9F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 w14:paraId="402A728D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387,059.00</w:t>
            </w:r>
          </w:p>
        </w:tc>
        <w:tc>
          <w:tcPr>
            <w:tcW w:w="3001" w:type="dxa"/>
            <w:vAlign w:val="center"/>
          </w:tcPr>
          <w:p w14:paraId="42528C23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284,960.00</w:t>
            </w:r>
          </w:p>
        </w:tc>
      </w:tr>
      <w:tr w14:paraId="4DF4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 w14:paraId="2ED12D6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 w14:paraId="5219307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36,349.00</w:t>
            </w:r>
          </w:p>
        </w:tc>
        <w:tc>
          <w:tcPr>
            <w:tcW w:w="3001" w:type="dxa"/>
            <w:vAlign w:val="center"/>
          </w:tcPr>
          <w:p w14:paraId="2BB2F6C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32,441.00</w:t>
            </w:r>
          </w:p>
        </w:tc>
      </w:tr>
    </w:tbl>
    <w:p w14:paraId="6D033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  <w:t>财务预算执行情况</w:t>
      </w:r>
    </w:p>
    <w:p w14:paraId="48121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累计实现营业收入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156,008.00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万元，完成全年预算306,543万元的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50.89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144,702.00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294,342.70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49.16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%；累计实现利润总额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11,306.00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万元，完成全年预算12,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00.30万元的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92.67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 。</w:t>
      </w:r>
    </w:p>
    <w:p w14:paraId="665EE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四、年度中期内发生的重大事项及对企业的影响</w:t>
      </w:r>
    </w:p>
    <w:p w14:paraId="3DFCC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