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9CDA0">
      <w:pPr>
        <w:pStyle w:val="2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山东公用热电集团（庆城）热力有限公司 </w:t>
      </w:r>
    </w:p>
    <w:p w14:paraId="565DE587">
      <w:pPr>
        <w:pStyle w:val="2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  <w:t>财务等重大信息公开</w:t>
      </w:r>
    </w:p>
    <w:p w14:paraId="2F76A436">
      <w:pPr>
        <w:pStyle w:val="2"/>
        <w:spacing w:line="700" w:lineRule="exact"/>
        <w:jc w:val="center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 w14:paraId="30ED0A7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6806740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6F63B5B1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山东公用热电集团（庆城）热力有限公司 </w:t>
      </w:r>
    </w:p>
    <w:p w14:paraId="15A6E0A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其他有限责任公司</w:t>
      </w:r>
    </w:p>
    <w:p w14:paraId="017DFD2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2023年6月27日</w:t>
      </w:r>
    </w:p>
    <w:p w14:paraId="022CCC29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李清浩</w:t>
      </w:r>
    </w:p>
    <w:p w14:paraId="71F6FF7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甘肃省庆阳市庆城县庆城镇东河东南150米</w:t>
      </w:r>
    </w:p>
    <w:p w14:paraId="6EA7732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许可项目：供暖服务；建设工程设计。（依法须经批准的项目，经相关部门批准后方可开展经营活动，具体经营项目以相关部门批准文件或许可证件为准）。一般项目：热力生产和供应；供冷服务；合同能源管理；节能管理服务；太阳能发电技术服务；工程管理服务；工业工程设计服务；生物质能技术服务。（除依法须经批准的项目外，凭营业执照依法自主开展经营活动）</w:t>
      </w:r>
    </w:p>
    <w:p w14:paraId="42EED58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（二）公司简介</w:t>
      </w:r>
    </w:p>
    <w:p w14:paraId="5368C9F2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公用热电集团（庆城）热力有限公司隶属于山东公用热电集团有限公司，2023年6月庆城县人民政府授予了城区供热特许经营权，负责城区民用、商用及机关办公供热运营管理工作。公司秉承“真情送温暖，服务千万家”的服务宗旨，向广大用户提供稳定、优质的供热服务，给您带来更高效优质、温暖舒适的用热体验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。庆城热力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现有正式职工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9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人，无劳务派遣人员。公司本部设置综合办公室、计划财务部、生产运营中心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三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个科室。截至202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31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日，开发总面积达到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209.26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万余平方米，服务居民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1.35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万余户。</w:t>
      </w:r>
    </w:p>
    <w:p w14:paraId="136A402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4E6DB2A2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  <w:bookmarkStart w:id="0" w:name="_GoBack"/>
      <w:bookmarkEnd w:id="0"/>
    </w:p>
    <w:p w14:paraId="00A21131">
      <w:pPr>
        <w:pStyle w:val="2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3"/>
        <w:gridCol w:w="4056"/>
      </w:tblGrid>
      <w:tr w14:paraId="0E035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 w14:paraId="45AB86D5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56" w:type="dxa"/>
          </w:tcPr>
          <w:p w14:paraId="46CD7102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5156D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 w14:paraId="36886263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56" w:type="dxa"/>
          </w:tcPr>
          <w:p w14:paraId="1EEE060E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2252</w:t>
            </w:r>
          </w:p>
        </w:tc>
      </w:tr>
      <w:tr w14:paraId="2C3AA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 w14:paraId="2E1FC75D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56" w:type="dxa"/>
          </w:tcPr>
          <w:p w14:paraId="5258B848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2756</w:t>
            </w:r>
          </w:p>
        </w:tc>
      </w:tr>
      <w:tr w14:paraId="0E5CA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 w14:paraId="233F2949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56" w:type="dxa"/>
          </w:tcPr>
          <w:p w14:paraId="696986CE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6</w:t>
            </w:r>
          </w:p>
        </w:tc>
      </w:tr>
      <w:tr w14:paraId="48986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 w14:paraId="558BDF91">
            <w:pPr>
              <w:pStyle w:val="2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56" w:type="dxa"/>
          </w:tcPr>
          <w:p w14:paraId="7E5B1634">
            <w:pPr>
              <w:pStyle w:val="2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-14</w:t>
            </w:r>
          </w:p>
        </w:tc>
      </w:tr>
      <w:tr w14:paraId="2CA4C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4643" w:type="dxa"/>
          </w:tcPr>
          <w:p w14:paraId="38B0906A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56" w:type="dxa"/>
          </w:tcPr>
          <w:p w14:paraId="5E2C63C0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9957</w:t>
            </w:r>
          </w:p>
        </w:tc>
      </w:tr>
      <w:tr w14:paraId="46168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4643" w:type="dxa"/>
          </w:tcPr>
          <w:p w14:paraId="4414EFFB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56" w:type="dxa"/>
          </w:tcPr>
          <w:p w14:paraId="4E42FCA4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8681</w:t>
            </w:r>
          </w:p>
        </w:tc>
      </w:tr>
      <w:tr w14:paraId="70FAF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4643" w:type="dxa"/>
          </w:tcPr>
          <w:p w14:paraId="0F29E84C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56" w:type="dxa"/>
          </w:tcPr>
          <w:p w14:paraId="2288A8F0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1276</w:t>
            </w:r>
          </w:p>
        </w:tc>
      </w:tr>
    </w:tbl>
    <w:p w14:paraId="3FBC777C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6F08342A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4E04B30B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预算营业总收入2250万元，实际完成率100.09%；预算利润总额146万元，实际完成率4.11%。</w:t>
      </w:r>
    </w:p>
    <w:p w14:paraId="51EE0214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重大事项及对企业的影响</w:t>
      </w:r>
    </w:p>
    <w:p w14:paraId="6FC74F0B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