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D89945"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梁山公用水务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 xml:space="preserve">有限公司 </w:t>
      </w:r>
    </w:p>
    <w:p w14:paraId="76F1AC3B">
      <w:pPr>
        <w:snapToGrid w:val="0"/>
        <w:spacing w:line="640" w:lineRule="exact"/>
        <w:jc w:val="center"/>
        <w:rPr>
          <w:rFonts w:hint="eastAsia" w:ascii="宋体" w:hAnsi="宋体" w:eastAsia="方正小标宋简体" w:cs="宋体"/>
          <w:sz w:val="2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中期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财务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等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重大信息公开</w:t>
      </w:r>
    </w:p>
    <w:p w14:paraId="35DF9CAD"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 w14:paraId="7BEDD586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 w14:paraId="54DD0952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1.公司名称：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梁山公用水务有限公司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 </w:t>
      </w:r>
    </w:p>
    <w:p w14:paraId="721540AF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2.法定代表人：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刘贞海</w:t>
      </w:r>
    </w:p>
    <w:p w14:paraId="49C3A78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3.注册地址：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山东省济宁市梁山县水泊街道杏花村路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99号</w:t>
      </w:r>
    </w:p>
    <w:p w14:paraId="45701D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4.经营范围：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一般项目：水资源管理；水资源专用机械设备制造；环境保护专用设备销售；住宅水电安装维护服务；资源循环利用服务技术咨询；非常规水源利用技术研发；环保咨询服务；农林废物资源化无害化利用技术研发；供暖服务；特种设备销售；五金产品零售；泵及真空设备销售；阀门和旋塞销售；仪器仪表销售（除依法须经批准的项目外，凭营业执照依法自主开展经营活动）许可项目：自来水生产与供应；污水处理及其再生利用；检验检测服务；各类工程建设活动；建设工程设计（依法须经批准的项目，经相关部门批准后方可开展经营活动，具体经营项目以审批结果为准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 </w:t>
      </w:r>
    </w:p>
    <w:p w14:paraId="24441140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5.公司简介: 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梁山公用水务有限公司（原梁山县自来水公司）成立于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1994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日，</w:t>
      </w:r>
      <w:r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  <w:t>现为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山东公用</w:t>
      </w:r>
      <w:r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  <w:t>水务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集团有限公司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lang w:val="en-US" w:eastAsia="zh-CN"/>
        </w:rPr>
        <w:t>全资子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公司。是集自来水生产销售、供水设计施工与安装、纯净水生产销售于一体的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lang w:val="en-US" w:eastAsia="zh-CN"/>
        </w:rPr>
        <w:t>国有全资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企业，</w:t>
      </w:r>
      <w:r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  <w:t>公司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采取一级地下取水，全封闭输送，二级集中处理供水方式，实行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小时净化恒压供水的工作。</w:t>
      </w:r>
    </w:p>
    <w:p w14:paraId="449331E5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二、主要会计数据和财务指标（截至到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2025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年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6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月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30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日）</w:t>
      </w:r>
    </w:p>
    <w:p w14:paraId="07D24BAA">
      <w:pPr>
        <w:ind w:firstLine="6960" w:firstLineChars="2900"/>
        <w:rPr>
          <w:rFonts w:hint="eastAsia" w:ascii="方正黑体简体" w:hAnsi="方正黑体简体" w:eastAsia="方正黑体简体" w:cs="方正黑体简体"/>
          <w:sz w:val="24"/>
          <w:szCs w:val="24"/>
        </w:rPr>
      </w:pPr>
      <w:r>
        <w:rPr>
          <w:rFonts w:hint="eastAsia" w:ascii="方正黑体简体" w:hAnsi="方正黑体简体" w:eastAsia="方正黑体简体" w:cs="方正黑体简体"/>
          <w:sz w:val="24"/>
          <w:szCs w:val="24"/>
        </w:rPr>
        <w:t>单位： 万元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3"/>
        <w:gridCol w:w="4977"/>
      </w:tblGrid>
      <w:tr w14:paraId="0411B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3E4F7FC9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营业总收入</w:t>
            </w:r>
          </w:p>
        </w:tc>
        <w:tc>
          <w:tcPr>
            <w:tcW w:w="4977" w:type="dxa"/>
          </w:tcPr>
          <w:p w14:paraId="007C4B01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2770.00</w:t>
            </w:r>
          </w:p>
        </w:tc>
      </w:tr>
      <w:tr w14:paraId="1BE27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7ACE76F8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营业总成本</w:t>
            </w:r>
          </w:p>
        </w:tc>
        <w:tc>
          <w:tcPr>
            <w:tcW w:w="4977" w:type="dxa"/>
          </w:tcPr>
          <w:p w14:paraId="1C20A6C5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2529.00</w:t>
            </w:r>
          </w:p>
        </w:tc>
      </w:tr>
      <w:tr w14:paraId="214D9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6EE5D537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利润总额</w:t>
            </w:r>
          </w:p>
        </w:tc>
        <w:tc>
          <w:tcPr>
            <w:tcW w:w="4977" w:type="dxa"/>
          </w:tcPr>
          <w:p w14:paraId="384B727E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236.00</w:t>
            </w:r>
          </w:p>
        </w:tc>
      </w:tr>
      <w:tr w14:paraId="51301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43D8BF43"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lang w:val="en-US" w:eastAsia="zh-CN"/>
              </w:rPr>
              <w:t>净利润</w:t>
            </w:r>
          </w:p>
        </w:tc>
        <w:tc>
          <w:tcPr>
            <w:tcW w:w="4977" w:type="dxa"/>
          </w:tcPr>
          <w:p w14:paraId="4365C0C4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178.00</w:t>
            </w:r>
          </w:p>
        </w:tc>
      </w:tr>
      <w:tr w14:paraId="35B78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10C3FBDD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资产总额</w:t>
            </w:r>
          </w:p>
        </w:tc>
        <w:tc>
          <w:tcPr>
            <w:tcW w:w="4977" w:type="dxa"/>
          </w:tcPr>
          <w:p w14:paraId="08DE704F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20230.00</w:t>
            </w:r>
          </w:p>
        </w:tc>
      </w:tr>
      <w:tr w14:paraId="2BE2A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2C4BEA9A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负债总额</w:t>
            </w:r>
          </w:p>
        </w:tc>
        <w:tc>
          <w:tcPr>
            <w:tcW w:w="4977" w:type="dxa"/>
          </w:tcPr>
          <w:p w14:paraId="4C222CCE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17412.00</w:t>
            </w:r>
          </w:p>
        </w:tc>
      </w:tr>
      <w:tr w14:paraId="2029D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781F6F7A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所有者权益</w:t>
            </w:r>
          </w:p>
        </w:tc>
        <w:tc>
          <w:tcPr>
            <w:tcW w:w="4977" w:type="dxa"/>
          </w:tcPr>
          <w:p w14:paraId="42A4273D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2817.00</w:t>
            </w:r>
          </w:p>
        </w:tc>
      </w:tr>
    </w:tbl>
    <w:p w14:paraId="597185AF">
      <w:pPr>
        <w:rPr>
          <w:rFonts w:hint="eastAsia" w:ascii="方正黑体简体" w:hAnsi="方正黑体简体" w:eastAsia="方正黑体简体" w:cs="方正黑体简体"/>
          <w:sz w:val="18"/>
          <w:szCs w:val="18"/>
        </w:rPr>
      </w:pPr>
    </w:p>
    <w:p w14:paraId="34EB4655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三、财务预算执行情况</w:t>
      </w:r>
    </w:p>
    <w:p w14:paraId="4785B907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1.营业收入：本年预算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5100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万元，截至到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日，完成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54.31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%。</w:t>
      </w:r>
    </w:p>
    <w:p w14:paraId="79DD1C0A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2.利润总额：本年预算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471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万元，截至到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日，完成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50.11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</w:t>
      </w:r>
    </w:p>
    <w:p w14:paraId="7EFE05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四、年度中期内发生的重大事项及对公司的影响</w:t>
      </w:r>
    </w:p>
    <w:p w14:paraId="34CFE9E3"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无。</w:t>
      </w:r>
      <w:bookmarkStart w:id="0" w:name="_GoBack"/>
      <w:bookmarkEnd w:id="0"/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