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27FA3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山东公用集团济宁兖州热力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 w14:paraId="5C13767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方正黑体简体" w:hAnsi="方正黑体简体" w:eastAsia="方正黑体简体" w:cs="方正黑体简体"/>
          <w:b/>
          <w:sz w:val="44"/>
          <w:szCs w:val="44"/>
          <w:lang w:val="en-US" w:eastAsia="zh-CN"/>
        </w:rPr>
        <w:t>中期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 w14:paraId="63950DC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 w14:paraId="403CD505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 w:bidi="zh-CN"/>
        </w:rPr>
        <w:t>一、</w:t>
      </w: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 w14:paraId="1C5543B3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 w14:paraId="45E6356A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山东公用集团济宁兖州热力有限公司</w:t>
      </w:r>
    </w:p>
    <w:p w14:paraId="52833F79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有限责任公司</w:t>
      </w:r>
    </w:p>
    <w:p w14:paraId="0F345AB8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2017年9月29日</w:t>
      </w:r>
    </w:p>
    <w:p w14:paraId="16672D18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张志宇</w:t>
      </w:r>
    </w:p>
    <w:p w14:paraId="46BA68A3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山东省济宁市兖州区鼓楼街道文化西路9号</w:t>
      </w:r>
    </w:p>
    <w:p w14:paraId="3C039E3E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：城区集中供热；新能源研发利用；热力工程设计、咨询及施工；热力设备销售；合同能源管理；管道保温防腐。（依法须经批准的项目，经相关部门批准后方可开展经营活动） </w:t>
      </w:r>
    </w:p>
    <w:p w14:paraId="2D5FB2B6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 w14:paraId="6642F61D">
      <w:pPr>
        <w:keepNext w:val="0"/>
        <w:keepLines w:val="0"/>
        <w:pageBreakBefore w:val="0"/>
        <w:widowControl/>
        <w:tabs>
          <w:tab w:val="left" w:pos="666"/>
        </w:tabs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山东公用集团济宁兖州热力有限公司成立于2017年9月29日，注册资金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4416.71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万元整。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供热面积约1707万平方米，共有热用户约15.02万户。其中民用面积约1607万平方米，商业办公、教育供热面积约100万平方米。</w:t>
      </w:r>
    </w:p>
    <w:p w14:paraId="5F6FE004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 w:bidi="zh-CN"/>
        </w:rPr>
        <w:t>二、</w:t>
      </w: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 w14:paraId="12F97CE7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黑体简体" w:cs="Times New Roman"/>
          <w:b/>
          <w:bCs/>
          <w:highlight w:val="none"/>
          <w:lang w:val="en-US"/>
        </w:rPr>
      </w:pPr>
    </w:p>
    <w:p w14:paraId="23DA88C0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黑体简体" w:cs="Times New Roman"/>
          <w:b/>
          <w:bCs/>
          <w:highlight w:val="none"/>
          <w:lang w:val="en-US"/>
        </w:rPr>
      </w:pPr>
    </w:p>
    <w:p w14:paraId="6FC32DEB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年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中期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 w14:paraId="79C6477D">
      <w:pPr>
        <w:pStyle w:val="2"/>
        <w:spacing w:line="600" w:lineRule="exact"/>
        <w:ind w:firstLine="6325" w:firstLineChars="2100"/>
        <w:jc w:val="both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85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8"/>
        <w:gridCol w:w="3981"/>
      </w:tblGrid>
      <w:tr w14:paraId="35086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4558" w:type="dxa"/>
          </w:tcPr>
          <w:p w14:paraId="4AB0136F">
            <w:pPr>
              <w:pStyle w:val="2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bookmarkStart w:id="0" w:name="_GoBack"/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981" w:type="dxa"/>
          </w:tcPr>
          <w:p w14:paraId="1B93C079">
            <w:pPr>
              <w:pStyle w:val="2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 w14:paraId="045C1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4558" w:type="dxa"/>
          </w:tcPr>
          <w:p w14:paraId="613BEBF4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981" w:type="dxa"/>
          </w:tcPr>
          <w:p w14:paraId="41EBDAEF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14781.52</w:t>
            </w:r>
          </w:p>
        </w:tc>
      </w:tr>
      <w:tr w14:paraId="73630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4558" w:type="dxa"/>
          </w:tcPr>
          <w:p w14:paraId="34A88C7B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981" w:type="dxa"/>
          </w:tcPr>
          <w:p w14:paraId="74C64DF8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15311.13</w:t>
            </w:r>
          </w:p>
        </w:tc>
      </w:tr>
      <w:tr w14:paraId="27EAE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4558" w:type="dxa"/>
          </w:tcPr>
          <w:p w14:paraId="3C3039DB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981" w:type="dxa"/>
          </w:tcPr>
          <w:p w14:paraId="59B62129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2486.08</w:t>
            </w:r>
          </w:p>
        </w:tc>
      </w:tr>
      <w:tr w14:paraId="5A94C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4558" w:type="dxa"/>
          </w:tcPr>
          <w:p w14:paraId="36D1A973">
            <w:pPr>
              <w:pStyle w:val="2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981" w:type="dxa"/>
          </w:tcPr>
          <w:p w14:paraId="6ED43CDC">
            <w:pPr>
              <w:pStyle w:val="2"/>
              <w:spacing w:line="600" w:lineRule="exact"/>
              <w:jc w:val="center"/>
              <w:rPr>
                <w:rFonts w:hint="default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1864.56</w:t>
            </w:r>
          </w:p>
        </w:tc>
      </w:tr>
      <w:tr w14:paraId="40DD2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4558" w:type="dxa"/>
          </w:tcPr>
          <w:p w14:paraId="55E0F136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981" w:type="dxa"/>
          </w:tcPr>
          <w:p w14:paraId="25E1B49A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143263.84</w:t>
            </w:r>
          </w:p>
        </w:tc>
      </w:tr>
      <w:tr w14:paraId="16726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58" w:type="dxa"/>
          </w:tcPr>
          <w:p w14:paraId="78EB46B3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981" w:type="dxa"/>
          </w:tcPr>
          <w:p w14:paraId="56E8A31F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116444.23</w:t>
            </w:r>
          </w:p>
        </w:tc>
      </w:tr>
      <w:tr w14:paraId="37B28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4558" w:type="dxa"/>
          </w:tcPr>
          <w:p w14:paraId="39FE85EA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981" w:type="dxa"/>
          </w:tcPr>
          <w:p w14:paraId="5EE58F2D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26819.61</w:t>
            </w:r>
          </w:p>
        </w:tc>
      </w:tr>
      <w:bookmarkEnd w:id="0"/>
    </w:tbl>
    <w:p w14:paraId="28B4AAEB"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</w:p>
    <w:p w14:paraId="69F7937F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 w14:paraId="4EF4A04C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预算营业总收入25206万元，实际完成率58.64%；预算利润总额2913万元，实际完成率85.34%。</w:t>
      </w:r>
    </w:p>
    <w:p w14:paraId="75B3D379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年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中期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内重大事项及对企业的影响</w:t>
      </w:r>
    </w:p>
    <w:p w14:paraId="7C91518F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无。</w:t>
      </w:r>
    </w:p>
    <w:p w14:paraId="549A40CB"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lang w:val="en-US"/>
        </w:rPr>
      </w:pPr>
    </w:p>
    <w:p w14:paraId="4E9D0C16"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highlight w:val="yellow"/>
          <w:lang w:val="en-US"/>
        </w:rPr>
      </w:pPr>
    </w:p>
    <w:p w14:paraId="6230A128">
      <w:pPr>
        <w:rPr>
          <w:highlight w:val="yellow"/>
          <w:lang w:val="en-US"/>
        </w:rPr>
      </w:pPr>
    </w:p>
    <w:p w14:paraId="7671B81C"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 w14:paraId="11D4CC0A"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DEEFA328-A14C-4880-9AB0-9CAB16286175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