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16C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7CD003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 w14:paraId="722898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0322F1D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 w14:paraId="33116DD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 w14:paraId="6FE4A5F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1.公司名称：济宁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 w14:paraId="7E7B491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 w14:paraId="22C9BFD3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3.注册地址：嘉祥县吉祥路北高庙社区西300米</w:t>
      </w:r>
    </w:p>
    <w:p w14:paraId="3A33C67D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 w14:paraId="7630D1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  <w:t>（二）公司简介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负责济宁经济开发区供热运营工作，区域内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 w14:paraId="523B3F5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</w:p>
    <w:p w14:paraId="7AF0A0F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5E76B52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DC64F14">
      <w:pPr>
        <w:pStyle w:val="2"/>
        <w:spacing w:line="600" w:lineRule="exact"/>
        <w:ind w:firstLine="6325" w:firstLineChars="21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  <w:gridCol w:w="4046"/>
      </w:tblGrid>
      <w:tr w14:paraId="75546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7D98A6B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46" w:type="dxa"/>
          </w:tcPr>
          <w:p w14:paraId="37991107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62C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3A2CC0A6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46" w:type="dxa"/>
          </w:tcPr>
          <w:p w14:paraId="1DF5AB2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222.66</w:t>
            </w:r>
          </w:p>
        </w:tc>
      </w:tr>
      <w:tr w14:paraId="273E1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6B0778D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46" w:type="dxa"/>
          </w:tcPr>
          <w:p w14:paraId="3C2DF83C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181.68</w:t>
            </w:r>
          </w:p>
        </w:tc>
      </w:tr>
      <w:tr w14:paraId="4756C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644D939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46" w:type="dxa"/>
          </w:tcPr>
          <w:p w14:paraId="3DBD3D5A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40.98</w:t>
            </w:r>
          </w:p>
        </w:tc>
      </w:tr>
      <w:tr w14:paraId="6E84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14995A33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46" w:type="dxa"/>
          </w:tcPr>
          <w:p w14:paraId="784EB11C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38.66</w:t>
            </w:r>
          </w:p>
        </w:tc>
      </w:tr>
      <w:tr w14:paraId="41C8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633" w:type="dxa"/>
          </w:tcPr>
          <w:p w14:paraId="31910882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46" w:type="dxa"/>
          </w:tcPr>
          <w:p w14:paraId="6F81F66D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2924.91</w:t>
            </w:r>
          </w:p>
        </w:tc>
      </w:tr>
      <w:tr w14:paraId="1CB7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633" w:type="dxa"/>
          </w:tcPr>
          <w:p w14:paraId="58A84602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46" w:type="dxa"/>
          </w:tcPr>
          <w:p w14:paraId="1E1F667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1504.1</w:t>
            </w:r>
          </w:p>
        </w:tc>
      </w:tr>
      <w:tr w14:paraId="08B04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633" w:type="dxa"/>
          </w:tcPr>
          <w:p w14:paraId="626CA1E6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46" w:type="dxa"/>
          </w:tcPr>
          <w:p w14:paraId="583A330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1420.81</w:t>
            </w:r>
          </w:p>
        </w:tc>
      </w:tr>
    </w:tbl>
    <w:p w14:paraId="390159C8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 w14:paraId="012743F2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预算营业总收入502万元，实际完成率44%；预算利润总额 203万元，实际完成率20%。</w:t>
      </w:r>
    </w:p>
    <w:p w14:paraId="647AC34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内重大事项及对企业的影响</w:t>
      </w:r>
    </w:p>
    <w:p w14:paraId="63FE37A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33BFEF1F">
      <w:pPr>
        <w:numPr>
          <w:ilvl w:val="0"/>
          <w:numId w:val="0"/>
        </w:numPr>
        <w:spacing w:line="580" w:lineRule="exact"/>
        <w:ind w:leftChars="200"/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</w:pPr>
    </w:p>
    <w:p w14:paraId="2CAEFBBC">
      <w:pPr>
        <w:spacing w:line="58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/>
        </w:rPr>
      </w:pPr>
    </w:p>
    <w:p w14:paraId="70E64254">
      <w:pPr>
        <w:spacing w:line="58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  <w:highlight w:val="yellow"/>
          <w:lang w:val="en-US"/>
        </w:rPr>
      </w:pPr>
    </w:p>
    <w:p w14:paraId="648750ED">
      <w:pPr>
        <w:rPr>
          <w:rFonts w:hint="default" w:ascii="Times New Roman" w:hAnsi="Times New Roman" w:cs="Times New Roman"/>
          <w:highlight w:val="yellow"/>
          <w:lang w:val="en-US"/>
        </w:rPr>
      </w:pPr>
    </w:p>
    <w:p w14:paraId="77A5AACD"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3DB7666"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