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51DDBA"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汶上公用水务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 w14:paraId="2DFCC125"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 w14:paraId="12147D8E"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082B7D8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1EB184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1.公司名称：汶上公用水务有限公司</w:t>
      </w:r>
    </w:p>
    <w:p w14:paraId="2C7BDE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2.法定代表人：王晓静</w:t>
      </w:r>
    </w:p>
    <w:p w14:paraId="766ADA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3.注册地址：山东省济宁市汶上县汶上街道普陀山路207号</w:t>
      </w:r>
    </w:p>
    <w:p w14:paraId="40B119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（1）许可项目：自来水生产与供应；污水处理及其再生利用；城市生活垃圾经营性服务：建设工程施工；食品销售；食品生产：餐饮服务；食品互联网销售。(依法须经批准的项目，经相关部门批准后方可开展经营活动，具体经营项目以相关部门批准文件或许可证件为准)（2）一般项目：水污染治理：水环境污染防治服务；市政设施管理；土石方工程施工；建筑材料销售：物联网应用服务；农副产品销售：互联网销售(除销售需要许可的商品):供应用仪器仪表销售：专用化学产品销售(不含危险化学品)。(除依法须经批准的项目外，凭营业执照依法自主开展经营活动)</w:t>
      </w:r>
    </w:p>
    <w:p w14:paraId="50725474"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5.公司简介: 汶上公用水务有限公司现有在职职工179人，高层管理人员5人，18名中层管理人员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，下辖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综合办公室、党群工作部、财务管理部、生产运营中心、企业管理部、客户服务中心、管网运营中心、城区制水分公司、农村供水分公司、市政工程分公司、清源污水厂、佛都污水厂、清泉污水厂等，现有技术人员54人，具备丰富的行业经验和专业知识。公司是由原自来水公司、污水处理厂、佛都污水处理厂、清泉水务公司合并设立，具体负责自来水供应、污水处理、管道维修、供水工程安装及校表等工作，为城市公共服务企业。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 w14:paraId="769B2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会计数据和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财务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指标（截至到2025年6月30日）</w:t>
      </w:r>
    </w:p>
    <w:p w14:paraId="39664FE2">
      <w:pPr>
        <w:ind w:firstLine="6960" w:firstLineChars="2900"/>
        <w:rPr>
          <w:rFonts w:ascii="方正黑体简体" w:hAnsi="方正黑体简体" w:eastAsia="方正黑体简体" w:cs="方正黑体简体"/>
          <w:b/>
          <w:bCs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sz w:val="24"/>
          <w:szCs w:val="24"/>
        </w:rPr>
        <w:t>单位：</w:t>
      </w:r>
      <w:r>
        <w:rPr>
          <w:rFonts w:hint="eastAsia" w:ascii="方正黑体简体" w:hAnsi="方正黑体简体" w:eastAsia="方正黑体简体" w:cs="方正黑体简体"/>
          <w:sz w:val="24"/>
          <w:szCs w:val="24"/>
          <w:lang w:val="en-US" w:eastAsia="zh-CN"/>
        </w:rPr>
        <w:t xml:space="preserve"> </w:t>
      </w:r>
      <w:r>
        <w:rPr>
          <w:rFonts w:hint="eastAsia" w:ascii="方正黑体简体" w:hAnsi="方正黑体简体" w:eastAsia="方正黑体简体" w:cs="方正黑体简体"/>
          <w:sz w:val="24"/>
          <w:szCs w:val="24"/>
        </w:rPr>
        <w:t>万元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9"/>
        <w:gridCol w:w="4973"/>
      </w:tblGrid>
      <w:tr w14:paraId="73E1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20DD708A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 w14:paraId="40FADD2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5247.97</w:t>
            </w:r>
          </w:p>
        </w:tc>
      </w:tr>
      <w:tr w14:paraId="76187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D535BA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 w14:paraId="2F1738FF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3536.9</w:t>
            </w:r>
          </w:p>
        </w:tc>
      </w:tr>
      <w:tr w14:paraId="75C7E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77E77AEF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 w14:paraId="5AEFFA58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1797.36</w:t>
            </w:r>
          </w:p>
        </w:tc>
      </w:tr>
      <w:tr w14:paraId="0F2EB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009EE9DF">
            <w:pPr>
              <w:jc w:val="center"/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  <w:lang w:val="en-US" w:eastAsia="zh-CN"/>
              </w:rPr>
              <w:t>净利润</w:t>
            </w:r>
          </w:p>
        </w:tc>
        <w:tc>
          <w:tcPr>
            <w:tcW w:w="4977" w:type="dxa"/>
          </w:tcPr>
          <w:p w14:paraId="6005714E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1265.95</w:t>
            </w:r>
          </w:p>
        </w:tc>
      </w:tr>
      <w:tr w14:paraId="4C66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41EBAD41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 w14:paraId="36DA3F31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51213.65</w:t>
            </w:r>
          </w:p>
        </w:tc>
      </w:tr>
      <w:tr w14:paraId="543FF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3F5620C8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 w14:paraId="380D2B0D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36486.59</w:t>
            </w:r>
          </w:p>
        </w:tc>
      </w:tr>
      <w:tr w14:paraId="32E81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 w14:paraId="61C05695"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 w14:paraId="48046615">
            <w:pPr>
              <w:snapToGrid w:val="0"/>
              <w:spacing w:line="580" w:lineRule="exact"/>
              <w:ind w:firstLine="482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24"/>
                <w:szCs w:val="24"/>
                <w:lang w:val="en-US" w:eastAsia="zh-CN"/>
              </w:rPr>
              <w:t>14727.06</w:t>
            </w:r>
          </w:p>
        </w:tc>
      </w:tr>
    </w:tbl>
    <w:p w14:paraId="13A3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执行情况</w:t>
      </w:r>
    </w:p>
    <w:p w14:paraId="411BDF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1.营业收入：本年预算13300万元，截至到2025年6月30日，完成39.46%。</w:t>
      </w:r>
    </w:p>
    <w:p w14:paraId="5BF10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highlight w:val="none"/>
          <w:lang w:val="en-US" w:eastAsia="zh-CN"/>
        </w:rPr>
        <w:t>2.利润总额：本年预算2000万元，截至到2025年6月30日，完成89.87%。</w:t>
      </w:r>
    </w:p>
    <w:p w14:paraId="16A659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四、年度中期内发生的重大事项及对公司的影响</w:t>
      </w:r>
    </w:p>
    <w:p w14:paraId="2CDD5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B95EFC"/>
    <w:rsid w:val="3332651B"/>
    <w:rsid w:val="4CC35446"/>
    <w:rsid w:val="65EC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