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D29C6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曲阜聚源供热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公司</w:t>
      </w:r>
    </w:p>
    <w:p w14:paraId="46D4532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1D23603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</w:pPr>
    </w:p>
    <w:p w14:paraId="5F3D619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7916AD4D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39EFFFBD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有限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责任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</w:t>
      </w:r>
    </w:p>
    <w:p w14:paraId="52575BC0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有限责任公司（国有控股）</w:t>
      </w:r>
    </w:p>
    <w:p w14:paraId="17038D62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2010年8月13日</w:t>
      </w:r>
    </w:p>
    <w:p w14:paraId="32B4BE65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张宾</w:t>
      </w:r>
    </w:p>
    <w:p w14:paraId="3AFF33D2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山东省曲阜市裕隆路89号（时庄）</w:t>
      </w:r>
    </w:p>
    <w:p w14:paraId="3E331476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热力销售与供应；供热服务；供热管道、设备的销售、维修、维护及保养。</w:t>
      </w:r>
    </w:p>
    <w:p w14:paraId="0AB59A24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5B94B119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有限责任公司成立于2010年7月，注册资金6700万元，由山东聚源热力有限责任公司、曲阜市方兴城市建设经营有限公司、山东圣方热力有限公司共同出资成立。其中山东聚源热力有限责任公司出资3570万元，控股53.28%，曲阜市方兴城市建设经营有限公司以资产出资2730万元，占股40.75%，山东圣方热力有限公司出资400万元，占股5.97%。</w:t>
      </w:r>
    </w:p>
    <w:p w14:paraId="61F50EE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6E80A1FF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658D9441">
      <w:pPr>
        <w:pStyle w:val="3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bookmarkStart w:id="0" w:name="_GoBack"/>
      <w:bookmarkEnd w:id="0"/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0"/>
        <w:gridCol w:w="4019"/>
      </w:tblGrid>
      <w:tr w14:paraId="17DFC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600" w:type="dxa"/>
          </w:tcPr>
          <w:p w14:paraId="1B58C397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19" w:type="dxa"/>
          </w:tcPr>
          <w:p w14:paraId="57040FC3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18102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13108FC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19" w:type="dxa"/>
            <w:shd w:val="clear" w:color="auto" w:fill="auto"/>
            <w:vAlign w:val="center"/>
          </w:tcPr>
          <w:p w14:paraId="75CE6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6631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02</w:t>
            </w:r>
          </w:p>
        </w:tc>
      </w:tr>
      <w:tr w14:paraId="19232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1D896B28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19" w:type="dxa"/>
            <w:shd w:val="clear" w:color="auto" w:fill="auto"/>
            <w:vAlign w:val="center"/>
          </w:tcPr>
          <w:p w14:paraId="18312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6062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65 </w:t>
            </w:r>
          </w:p>
        </w:tc>
      </w:tr>
      <w:tr w14:paraId="06B52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31F7BEF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19" w:type="dxa"/>
            <w:shd w:val="clear" w:color="auto" w:fill="auto"/>
            <w:vAlign w:val="center"/>
          </w:tcPr>
          <w:p w14:paraId="7279C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435.97 </w:t>
            </w:r>
          </w:p>
        </w:tc>
      </w:tr>
      <w:tr w14:paraId="71CA9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28DFA3FB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19" w:type="dxa"/>
            <w:shd w:val="clear" w:color="auto" w:fill="auto"/>
            <w:vAlign w:val="center"/>
          </w:tcPr>
          <w:p w14:paraId="6FC6A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435.97</w:t>
            </w:r>
          </w:p>
        </w:tc>
      </w:tr>
      <w:tr w14:paraId="113C1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10CCCF3D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19" w:type="dxa"/>
            <w:shd w:val="clear" w:color="auto" w:fill="auto"/>
            <w:vAlign w:val="top"/>
          </w:tcPr>
          <w:p w14:paraId="2AC9D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13484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96</w:t>
            </w:r>
          </w:p>
        </w:tc>
      </w:tr>
      <w:tr w14:paraId="1D54E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552CCC74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19" w:type="dxa"/>
            <w:shd w:val="clear" w:color="auto" w:fill="auto"/>
            <w:vAlign w:val="top"/>
          </w:tcPr>
          <w:p w14:paraId="258B1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11063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09</w:t>
            </w:r>
          </w:p>
        </w:tc>
      </w:tr>
      <w:tr w14:paraId="37B44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4600" w:type="dxa"/>
          </w:tcPr>
          <w:p w14:paraId="0E03A8BD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19" w:type="dxa"/>
            <w:shd w:val="clear" w:color="auto" w:fill="auto"/>
            <w:vAlign w:val="top"/>
          </w:tcPr>
          <w:p w14:paraId="73CA1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2421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87</w:t>
            </w:r>
          </w:p>
        </w:tc>
      </w:tr>
    </w:tbl>
    <w:p w14:paraId="19BC0124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65F1ECD8"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5BF50258"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预算营业总收入13073万元，实际完成率50.72%；预算利润总额561万元，实际完成率77.71%。</w:t>
      </w:r>
    </w:p>
    <w:p w14:paraId="5DA51610"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重大事项及对企业的影响</w:t>
      </w:r>
    </w:p>
    <w:p w14:paraId="03F030AD">
      <w:pPr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sz w:val="32"/>
          <w:szCs w:val="32"/>
          <w:lang w:val="en-US" w:eastAsia="zh-CN"/>
        </w:rPr>
        <w:t>无。</w:t>
      </w:r>
    </w:p>
    <w:p w14:paraId="15F05412">
      <w:pPr>
        <w:rPr>
          <w:highlight w:val="yellow"/>
          <w:lang w:val="en-US"/>
        </w:rPr>
      </w:pPr>
    </w:p>
    <w:p w14:paraId="1A2AF20C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3AA4DC54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